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C2" w:rsidRPr="00A15AC2" w:rsidRDefault="00A15AC2" w:rsidP="00A15AC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15AC2">
        <w:rPr>
          <w:rFonts w:ascii="Times New Roman" w:eastAsia="Times New Roman" w:hAnsi="Times New Roman" w:cs="Times New Roman"/>
          <w:b/>
          <w:bCs/>
          <w:kern w:val="36"/>
          <w:sz w:val="48"/>
          <w:szCs w:val="48"/>
          <w:lang w:eastAsia="fr-FR"/>
        </w:rPr>
        <w:t>Toutes les préconisations du rapport sur la fonction publique</w:t>
      </w:r>
    </w:p>
    <w:p w:rsidR="00A15AC2" w:rsidRPr="00A15AC2" w:rsidRDefault="00A15AC2" w:rsidP="00A15AC2">
      <w:pPr>
        <w:spacing w:after="0" w:line="240" w:lineRule="auto"/>
        <w:rPr>
          <w:rFonts w:ascii="Times New Roman" w:eastAsia="Times New Roman" w:hAnsi="Times New Roman" w:cs="Times New Roman"/>
          <w:sz w:val="24"/>
          <w:szCs w:val="24"/>
          <w:lang w:eastAsia="fr-FR"/>
        </w:rPr>
      </w:pPr>
      <w:r w:rsidRPr="00A15AC2">
        <w:rPr>
          <w:rFonts w:ascii="Times New Roman" w:eastAsia="Times New Roman" w:hAnsi="Times New Roman" w:cs="Times New Roman"/>
          <w:noProof/>
          <w:sz w:val="24"/>
          <w:szCs w:val="24"/>
          <w:lang w:eastAsia="fr-FR"/>
        </w:rPr>
        <w:drawing>
          <wp:inline distT="0" distB="0" distL="0" distR="0" wp14:anchorId="6C5B9937" wp14:editId="1111BC1C">
            <wp:extent cx="1219200" cy="1000125"/>
            <wp:effectExtent l="0" t="0" r="0" b="9525"/>
            <wp:docPr id="1" name="Image 1" descr="http://static.acteurspublics.fr/all/uploads/file/2013/11/04/fusion-c-foto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cteurspublics.fr/all/uploads/file/2013/11/04/fusion-c-fotol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000125"/>
                    </a:xfrm>
                    <a:prstGeom prst="rect">
                      <a:avLst/>
                    </a:prstGeom>
                    <a:noFill/>
                    <a:ln>
                      <a:noFill/>
                    </a:ln>
                  </pic:spPr>
                </pic:pic>
              </a:graphicData>
            </a:graphic>
          </wp:inline>
        </w:drawing>
      </w:r>
    </w:p>
    <w:p w:rsidR="00A15AC2" w:rsidRPr="00A15AC2" w:rsidRDefault="00A15AC2" w:rsidP="00A15AC2">
      <w:pPr>
        <w:spacing w:before="100" w:beforeAutospacing="1" w:after="100" w:afterAutospacing="1" w:line="240" w:lineRule="auto"/>
        <w:rPr>
          <w:rFonts w:ascii="Times New Roman" w:eastAsia="Times New Roman" w:hAnsi="Times New Roman" w:cs="Times New Roman"/>
          <w:sz w:val="24"/>
          <w:szCs w:val="24"/>
          <w:lang w:eastAsia="fr-FR"/>
        </w:rPr>
      </w:pPr>
      <w:r w:rsidRPr="00A15AC2">
        <w:rPr>
          <w:rFonts w:ascii="Times New Roman" w:eastAsia="Times New Roman" w:hAnsi="Times New Roman" w:cs="Times New Roman"/>
          <w:sz w:val="24"/>
          <w:szCs w:val="24"/>
          <w:lang w:eastAsia="fr-FR"/>
        </w:rPr>
        <w:t xml:space="preserve">Les propositions du rapport de Bernard Pêcheur suggèrent notamment de </w:t>
      </w:r>
      <w:r w:rsidRPr="00A15AC2">
        <w:rPr>
          <w:rFonts w:ascii="Times New Roman" w:eastAsia="Times New Roman" w:hAnsi="Times New Roman" w:cs="Times New Roman"/>
          <w:i/>
          <w:iCs/>
          <w:sz w:val="24"/>
          <w:szCs w:val="24"/>
          <w:lang w:eastAsia="fr-FR"/>
        </w:rPr>
        <w:t>“donner du sens à l'action publique”</w:t>
      </w:r>
      <w:r w:rsidRPr="00A15AC2">
        <w:rPr>
          <w:rFonts w:ascii="Times New Roman" w:eastAsia="Times New Roman" w:hAnsi="Times New Roman" w:cs="Times New Roman"/>
          <w:sz w:val="24"/>
          <w:szCs w:val="24"/>
          <w:lang w:eastAsia="fr-FR"/>
        </w:rPr>
        <w:t xml:space="preserve">, d'assurer </w:t>
      </w:r>
      <w:r w:rsidRPr="00A15AC2">
        <w:rPr>
          <w:rFonts w:ascii="Times New Roman" w:eastAsia="Times New Roman" w:hAnsi="Times New Roman" w:cs="Times New Roman"/>
          <w:i/>
          <w:iCs/>
          <w:sz w:val="24"/>
          <w:szCs w:val="24"/>
          <w:lang w:eastAsia="fr-FR"/>
        </w:rPr>
        <w:t>“la confiance des citoyens dans les agents publics”</w:t>
      </w:r>
      <w:r w:rsidRPr="00A15AC2">
        <w:rPr>
          <w:rFonts w:ascii="Times New Roman" w:eastAsia="Times New Roman" w:hAnsi="Times New Roman" w:cs="Times New Roman"/>
          <w:sz w:val="24"/>
          <w:szCs w:val="24"/>
          <w:lang w:eastAsia="fr-FR"/>
        </w:rPr>
        <w:t>, d'améliorer la gouvernance de la fonction publique… Le détail.</w:t>
      </w:r>
    </w:p>
    <w:p w:rsidR="00A15AC2" w:rsidRPr="00A15AC2" w:rsidRDefault="00A15AC2" w:rsidP="00A15AC2">
      <w:pPr>
        <w:spacing w:before="100" w:beforeAutospacing="1" w:after="100" w:afterAutospacing="1" w:line="240" w:lineRule="auto"/>
        <w:rPr>
          <w:rFonts w:ascii="Times New Roman" w:eastAsia="Times New Roman" w:hAnsi="Times New Roman" w:cs="Times New Roman"/>
          <w:sz w:val="24"/>
          <w:szCs w:val="24"/>
          <w:lang w:eastAsia="fr-FR"/>
        </w:rPr>
      </w:pPr>
      <w:r w:rsidRPr="00A15AC2">
        <w:rPr>
          <w:rFonts w:ascii="Times New Roman" w:eastAsia="Times New Roman" w:hAnsi="Times New Roman" w:cs="Times New Roman"/>
          <w:b/>
          <w:bCs/>
          <w:sz w:val="24"/>
          <w:szCs w:val="24"/>
          <w:u w:val="single"/>
          <w:lang w:eastAsia="fr-FR"/>
        </w:rPr>
        <w:t>“Fixer le cap, donner du sens à l'action publique”</w:t>
      </w:r>
      <w:r w:rsidRPr="00A15AC2">
        <w:rPr>
          <w:rFonts w:ascii="Times New Roman" w:eastAsia="Times New Roman" w:hAnsi="Times New Roman" w:cs="Times New Roman"/>
          <w:b/>
          <w:bCs/>
          <w:sz w:val="24"/>
          <w:szCs w:val="24"/>
          <w:u w:val="single"/>
          <w:lang w:eastAsia="fr-FR"/>
        </w:rPr>
        <w:br/>
      </w:r>
      <w:r w:rsidRPr="00A15AC2">
        <w:rPr>
          <w:rFonts w:ascii="Times New Roman" w:eastAsia="Times New Roman" w:hAnsi="Times New Roman" w:cs="Times New Roman"/>
          <w:sz w:val="24"/>
          <w:szCs w:val="24"/>
          <w:lang w:eastAsia="fr-FR"/>
        </w:rPr>
        <w:t>  - Les valeurs d’intérêt général sont des valeurs d’avenir dans une économie de marché. Le service public n’est pas un monde voué à l’extinction.</w:t>
      </w:r>
      <w:r w:rsidRPr="00A15AC2">
        <w:rPr>
          <w:rFonts w:ascii="Times New Roman" w:eastAsia="Times New Roman" w:hAnsi="Times New Roman" w:cs="Times New Roman"/>
          <w:sz w:val="24"/>
          <w:szCs w:val="24"/>
          <w:lang w:eastAsia="fr-FR"/>
        </w:rPr>
        <w:br/>
        <w:t>  - Des assises nationales du service public, des assises régionales, des consultations ouvertes sur Internet, une communication adaptée, une structure de pilotage clairement identifiée (</w:t>
      </w:r>
      <w:hyperlink r:id="rId6" w:tgtFrame="_blank" w:history="1">
        <w:r w:rsidRPr="00A15AC2">
          <w:rPr>
            <w:rFonts w:ascii="Times New Roman" w:eastAsia="Times New Roman" w:hAnsi="Times New Roman" w:cs="Times New Roman"/>
            <w:color w:val="0000FF"/>
            <w:sz w:val="24"/>
            <w:szCs w:val="24"/>
            <w:u w:val="single"/>
            <w:lang w:eastAsia="fr-FR"/>
          </w:rPr>
          <w:t>cliquez ici pour lire l'intégralité du rapport</w:t>
        </w:r>
      </w:hyperlink>
      <w:r w:rsidRPr="00A15AC2">
        <w:rPr>
          <w:rFonts w:ascii="Times New Roman" w:eastAsia="Times New Roman" w:hAnsi="Times New Roman" w:cs="Times New Roman"/>
          <w:sz w:val="24"/>
          <w:szCs w:val="24"/>
          <w:lang w:eastAsia="fr-FR"/>
        </w:rPr>
        <w:t>)</w:t>
      </w:r>
    </w:p>
    <w:p w:rsidR="00A15AC2" w:rsidRPr="00A15AC2" w:rsidRDefault="00A15AC2" w:rsidP="00A15AC2">
      <w:pPr>
        <w:spacing w:before="100" w:beforeAutospacing="1" w:after="100" w:afterAutospacing="1" w:line="240" w:lineRule="auto"/>
        <w:rPr>
          <w:rFonts w:ascii="Times New Roman" w:eastAsia="Times New Roman" w:hAnsi="Times New Roman" w:cs="Times New Roman"/>
          <w:sz w:val="24"/>
          <w:szCs w:val="24"/>
          <w:lang w:eastAsia="fr-FR"/>
        </w:rPr>
      </w:pPr>
      <w:r w:rsidRPr="00A15AC2">
        <w:rPr>
          <w:rFonts w:ascii="Times New Roman" w:eastAsia="Times New Roman" w:hAnsi="Times New Roman" w:cs="Times New Roman"/>
          <w:b/>
          <w:bCs/>
          <w:sz w:val="24"/>
          <w:szCs w:val="24"/>
          <w:u w:val="single"/>
          <w:lang w:eastAsia="fr-FR"/>
        </w:rPr>
        <w:t>“Assurer la confiance des citoyens dans les agents publics”</w:t>
      </w:r>
      <w:r w:rsidRPr="00A15AC2">
        <w:rPr>
          <w:rFonts w:ascii="Times New Roman" w:eastAsia="Times New Roman" w:hAnsi="Times New Roman" w:cs="Times New Roman"/>
          <w:b/>
          <w:bCs/>
          <w:sz w:val="24"/>
          <w:szCs w:val="24"/>
          <w:lang w:eastAsia="fr-FR"/>
        </w:rPr>
        <w:br/>
      </w:r>
      <w:r w:rsidRPr="00A15AC2">
        <w:rPr>
          <w:rFonts w:ascii="Times New Roman" w:eastAsia="Times New Roman" w:hAnsi="Times New Roman" w:cs="Times New Roman"/>
          <w:sz w:val="24"/>
          <w:szCs w:val="24"/>
          <w:lang w:eastAsia="fr-FR"/>
        </w:rPr>
        <w:t>  - Généraliser les chartes de déontologie et les référents déontologiques.</w:t>
      </w:r>
      <w:r w:rsidRPr="00A15AC2">
        <w:rPr>
          <w:rFonts w:ascii="Times New Roman" w:eastAsia="Times New Roman" w:hAnsi="Times New Roman" w:cs="Times New Roman"/>
          <w:sz w:val="24"/>
          <w:szCs w:val="24"/>
          <w:lang w:eastAsia="fr-FR"/>
        </w:rPr>
        <w:br/>
        <w:t>  - Rendre plus transparents et plus objectifs les recrutements de contractuels ainsi que les recrutements, sans concours, de fonctionnaires de catégorie C.</w:t>
      </w:r>
      <w:r w:rsidRPr="00A15AC2">
        <w:rPr>
          <w:rFonts w:ascii="Times New Roman" w:eastAsia="Times New Roman" w:hAnsi="Times New Roman" w:cs="Times New Roman"/>
          <w:sz w:val="24"/>
          <w:szCs w:val="24"/>
          <w:lang w:eastAsia="fr-FR"/>
        </w:rPr>
        <w:br/>
        <w:t>  - Une bonne information du public sur le suivi des chartes de déontologie et l’exercice du pouvoir disciplinaire dans les trois fonctions publiques.</w:t>
      </w:r>
      <w:r w:rsidRPr="00A15AC2">
        <w:rPr>
          <w:rFonts w:ascii="Times New Roman" w:eastAsia="Times New Roman" w:hAnsi="Times New Roman" w:cs="Times New Roman"/>
          <w:sz w:val="24"/>
          <w:szCs w:val="24"/>
          <w:lang w:eastAsia="fr-FR"/>
        </w:rPr>
        <w:br/>
        <w:t>  - Une évaluation quinquennale de la durée et de l’aménagement du temps de travail dans les trois fonctions publiques.</w:t>
      </w:r>
      <w:r w:rsidRPr="00A15AC2">
        <w:rPr>
          <w:rFonts w:ascii="Times New Roman" w:eastAsia="Times New Roman" w:hAnsi="Times New Roman" w:cs="Times New Roman"/>
          <w:sz w:val="24"/>
          <w:szCs w:val="24"/>
          <w:lang w:eastAsia="fr-FR"/>
        </w:rPr>
        <w:br/>
        <w:t>  - Garantir la transparence et la régularité des régimes indemnitaires et procéder à leur audit, tous les cinq ans, dans les trois fonctions publiques.</w:t>
      </w:r>
    </w:p>
    <w:p w:rsidR="00A15AC2" w:rsidRPr="00A15AC2" w:rsidRDefault="00A15AC2" w:rsidP="00A15AC2">
      <w:pPr>
        <w:spacing w:before="100" w:beforeAutospacing="1" w:after="100" w:afterAutospacing="1" w:line="240" w:lineRule="auto"/>
        <w:rPr>
          <w:rFonts w:ascii="Times New Roman" w:eastAsia="Times New Roman" w:hAnsi="Times New Roman" w:cs="Times New Roman"/>
          <w:sz w:val="24"/>
          <w:szCs w:val="24"/>
          <w:lang w:eastAsia="fr-FR"/>
        </w:rPr>
      </w:pPr>
      <w:r w:rsidRPr="00A15AC2">
        <w:rPr>
          <w:rFonts w:ascii="Times New Roman" w:eastAsia="Times New Roman" w:hAnsi="Times New Roman" w:cs="Times New Roman"/>
          <w:b/>
          <w:bCs/>
          <w:sz w:val="24"/>
          <w:szCs w:val="24"/>
          <w:u w:val="single"/>
          <w:lang w:eastAsia="fr-FR"/>
        </w:rPr>
        <w:t>“Améliorer la gouvernance de la fonction publique”</w:t>
      </w:r>
      <w:r w:rsidRPr="00A15AC2">
        <w:rPr>
          <w:rFonts w:ascii="Times New Roman" w:eastAsia="Times New Roman" w:hAnsi="Times New Roman" w:cs="Times New Roman"/>
          <w:b/>
          <w:bCs/>
          <w:sz w:val="24"/>
          <w:szCs w:val="24"/>
          <w:u w:val="single"/>
          <w:lang w:eastAsia="fr-FR"/>
        </w:rPr>
        <w:br/>
      </w:r>
      <w:r w:rsidRPr="00A15AC2">
        <w:rPr>
          <w:rFonts w:ascii="Times New Roman" w:eastAsia="Times New Roman" w:hAnsi="Times New Roman" w:cs="Times New Roman"/>
          <w:sz w:val="24"/>
          <w:szCs w:val="24"/>
          <w:lang w:eastAsia="fr-FR"/>
        </w:rPr>
        <w:t>  - Une prospective de l’emploi public à moyen terme.</w:t>
      </w:r>
      <w:r w:rsidRPr="00A15AC2">
        <w:rPr>
          <w:rFonts w:ascii="Times New Roman" w:eastAsia="Times New Roman" w:hAnsi="Times New Roman" w:cs="Times New Roman"/>
          <w:sz w:val="24"/>
          <w:szCs w:val="24"/>
          <w:lang w:eastAsia="fr-FR"/>
        </w:rPr>
        <w:br/>
        <w:t>  - Mieux associer les employeurs publics à la préparation des décisions et négociations.</w:t>
      </w:r>
      <w:r w:rsidRPr="00A15AC2">
        <w:rPr>
          <w:rFonts w:ascii="Times New Roman" w:eastAsia="Times New Roman" w:hAnsi="Times New Roman" w:cs="Times New Roman"/>
          <w:sz w:val="24"/>
          <w:szCs w:val="24"/>
          <w:lang w:eastAsia="fr-FR"/>
        </w:rPr>
        <w:br/>
        <w:t xml:space="preserve">  - Un Conseil commun de la fonction publique plus stratégique et </w:t>
      </w:r>
      <w:proofErr w:type="gramStart"/>
      <w:r w:rsidRPr="00A15AC2">
        <w:rPr>
          <w:rFonts w:ascii="Times New Roman" w:eastAsia="Times New Roman" w:hAnsi="Times New Roman" w:cs="Times New Roman"/>
          <w:sz w:val="24"/>
          <w:szCs w:val="24"/>
          <w:lang w:eastAsia="fr-FR"/>
        </w:rPr>
        <w:t>prospectif</w:t>
      </w:r>
      <w:proofErr w:type="gramEnd"/>
      <w:r w:rsidRPr="00A15AC2">
        <w:rPr>
          <w:rFonts w:ascii="Times New Roman" w:eastAsia="Times New Roman" w:hAnsi="Times New Roman" w:cs="Times New Roman"/>
          <w:sz w:val="24"/>
          <w:szCs w:val="24"/>
          <w:lang w:eastAsia="fr-FR"/>
        </w:rPr>
        <w:t>.</w:t>
      </w:r>
    </w:p>
    <w:p w:rsidR="00A15AC2" w:rsidRPr="00A15AC2" w:rsidRDefault="00A15AC2" w:rsidP="00A15AC2">
      <w:pPr>
        <w:spacing w:before="100" w:beforeAutospacing="1" w:after="100" w:afterAutospacing="1" w:line="240" w:lineRule="auto"/>
        <w:rPr>
          <w:rFonts w:ascii="Times New Roman" w:eastAsia="Times New Roman" w:hAnsi="Times New Roman" w:cs="Times New Roman"/>
          <w:sz w:val="24"/>
          <w:szCs w:val="24"/>
          <w:lang w:eastAsia="fr-FR"/>
        </w:rPr>
      </w:pPr>
      <w:r w:rsidRPr="00A15AC2">
        <w:rPr>
          <w:rFonts w:ascii="Times New Roman" w:eastAsia="Times New Roman" w:hAnsi="Times New Roman" w:cs="Times New Roman"/>
          <w:b/>
          <w:bCs/>
          <w:sz w:val="24"/>
          <w:szCs w:val="24"/>
          <w:u w:val="single"/>
          <w:lang w:eastAsia="fr-FR"/>
        </w:rPr>
        <w:t>“Poursuivre la rénovation du cadre commun de gestion des trois versants de la fonction publique”</w:t>
      </w:r>
      <w:r w:rsidRPr="00A15AC2">
        <w:rPr>
          <w:rFonts w:ascii="Times New Roman" w:eastAsia="Times New Roman" w:hAnsi="Times New Roman" w:cs="Times New Roman"/>
          <w:b/>
          <w:bCs/>
          <w:sz w:val="24"/>
          <w:szCs w:val="24"/>
          <w:lang w:eastAsia="fr-FR"/>
        </w:rPr>
        <w:br/>
      </w:r>
      <w:r w:rsidRPr="00A15AC2">
        <w:rPr>
          <w:rFonts w:ascii="Times New Roman" w:eastAsia="Times New Roman" w:hAnsi="Times New Roman" w:cs="Times New Roman"/>
          <w:sz w:val="24"/>
          <w:szCs w:val="24"/>
          <w:lang w:eastAsia="fr-FR"/>
        </w:rPr>
        <w:t>  - Une bourse commune de l’emploi public et un répertoire commun des emplois permettant d’harmoniser les répertoires d’emploi existant dans les différentes fonctions publiques.</w:t>
      </w:r>
      <w:r w:rsidRPr="00A15AC2">
        <w:rPr>
          <w:rFonts w:ascii="Times New Roman" w:eastAsia="Times New Roman" w:hAnsi="Times New Roman" w:cs="Times New Roman"/>
          <w:sz w:val="24"/>
          <w:szCs w:val="24"/>
          <w:lang w:eastAsia="fr-FR"/>
        </w:rPr>
        <w:br/>
        <w:t>  - Des cadres professionnels communs pour certaines professions “transfonctions publiques”.</w:t>
      </w:r>
      <w:r w:rsidRPr="00A15AC2">
        <w:rPr>
          <w:rFonts w:ascii="Times New Roman" w:eastAsia="Times New Roman" w:hAnsi="Times New Roman" w:cs="Times New Roman"/>
          <w:sz w:val="24"/>
          <w:szCs w:val="24"/>
          <w:lang w:eastAsia="fr-FR"/>
        </w:rPr>
        <w:br/>
        <w:t>  - Mieux encadrer les possibilités de recours à des non-titulaires.</w:t>
      </w:r>
    </w:p>
    <w:p w:rsidR="00A15AC2" w:rsidRPr="00A15AC2" w:rsidRDefault="00A15AC2" w:rsidP="00A15AC2">
      <w:pPr>
        <w:spacing w:before="100" w:beforeAutospacing="1" w:after="100" w:afterAutospacing="1" w:line="240" w:lineRule="auto"/>
        <w:rPr>
          <w:rFonts w:ascii="Times New Roman" w:eastAsia="Times New Roman" w:hAnsi="Times New Roman" w:cs="Times New Roman"/>
          <w:sz w:val="24"/>
          <w:szCs w:val="24"/>
          <w:lang w:eastAsia="fr-FR"/>
        </w:rPr>
      </w:pPr>
      <w:r w:rsidRPr="00A15AC2">
        <w:rPr>
          <w:rFonts w:ascii="Times New Roman" w:eastAsia="Times New Roman" w:hAnsi="Times New Roman" w:cs="Times New Roman"/>
          <w:b/>
          <w:bCs/>
          <w:sz w:val="24"/>
          <w:szCs w:val="24"/>
          <w:u w:val="single"/>
          <w:lang w:eastAsia="fr-FR"/>
        </w:rPr>
        <w:t>“Développer les responsabilités et mieux gérer les ressources humaines dans la fonction publique de l’État”</w:t>
      </w:r>
      <w:r w:rsidRPr="00A15AC2">
        <w:rPr>
          <w:rFonts w:ascii="Times New Roman" w:eastAsia="Times New Roman" w:hAnsi="Times New Roman" w:cs="Times New Roman"/>
          <w:b/>
          <w:bCs/>
          <w:sz w:val="24"/>
          <w:szCs w:val="24"/>
          <w:lang w:eastAsia="fr-FR"/>
        </w:rPr>
        <w:br/>
      </w:r>
      <w:r w:rsidRPr="00A15AC2">
        <w:rPr>
          <w:rFonts w:ascii="Times New Roman" w:eastAsia="Times New Roman" w:hAnsi="Times New Roman" w:cs="Times New Roman"/>
          <w:sz w:val="24"/>
          <w:szCs w:val="24"/>
          <w:lang w:eastAsia="fr-FR"/>
        </w:rPr>
        <w:t>  - Définir des “périmètres ministériels administratifs” stables, à partir des champs de compétence des secrétaires généraux de ministères.</w:t>
      </w:r>
      <w:r w:rsidRPr="00A15AC2">
        <w:rPr>
          <w:rFonts w:ascii="Times New Roman" w:eastAsia="Times New Roman" w:hAnsi="Times New Roman" w:cs="Times New Roman"/>
          <w:sz w:val="24"/>
          <w:szCs w:val="24"/>
          <w:lang w:eastAsia="fr-FR"/>
        </w:rPr>
        <w:br/>
      </w:r>
      <w:r w:rsidRPr="00A15AC2">
        <w:rPr>
          <w:rFonts w:ascii="Times New Roman" w:eastAsia="Times New Roman" w:hAnsi="Times New Roman" w:cs="Times New Roman"/>
          <w:sz w:val="24"/>
          <w:szCs w:val="24"/>
          <w:lang w:eastAsia="fr-FR"/>
        </w:rPr>
        <w:lastRenderedPageBreak/>
        <w:t>  - Constituer les secrétariats généraux et les grandes administrations opérationnelles de l’État en centres de responsabilité et de gestion.</w:t>
      </w:r>
      <w:r w:rsidRPr="00A15AC2">
        <w:rPr>
          <w:rFonts w:ascii="Times New Roman" w:eastAsia="Times New Roman" w:hAnsi="Times New Roman" w:cs="Times New Roman"/>
          <w:sz w:val="24"/>
          <w:szCs w:val="24"/>
          <w:lang w:eastAsia="fr-FR"/>
        </w:rPr>
        <w:br/>
        <w:t>  - Clarifier la répartition des responsabilités et compétences entre secrétaires généraux, d’une part, et directeurs généraux et directeurs, d’autre part.</w:t>
      </w:r>
      <w:r w:rsidRPr="00A15AC2">
        <w:rPr>
          <w:rFonts w:ascii="Times New Roman" w:eastAsia="Times New Roman" w:hAnsi="Times New Roman" w:cs="Times New Roman"/>
          <w:sz w:val="24"/>
          <w:szCs w:val="24"/>
          <w:lang w:eastAsia="fr-FR"/>
        </w:rPr>
        <w:br/>
        <w:t>  - Mener à l’égard des cadres supérieurs et dirigeants de la fonction publique de l’État une politique reposant sur l’exercice de responsabilités, le professionnalisme et les capacités d’animation.</w:t>
      </w:r>
      <w:r w:rsidRPr="00A15AC2">
        <w:rPr>
          <w:rFonts w:ascii="Times New Roman" w:eastAsia="Times New Roman" w:hAnsi="Times New Roman" w:cs="Times New Roman"/>
          <w:sz w:val="24"/>
          <w:szCs w:val="24"/>
          <w:lang w:eastAsia="fr-FR"/>
        </w:rPr>
        <w:br/>
        <w:t>  - Relancer la politique de fusion des corps, créer dans certains cas des commissions administratives paritaires communes et développer les corps interministériels à gestion ministérielle, en en faisant des “cadres professionnels interministériels”.</w:t>
      </w:r>
      <w:r w:rsidRPr="00A15AC2">
        <w:rPr>
          <w:rFonts w:ascii="Times New Roman" w:eastAsia="Times New Roman" w:hAnsi="Times New Roman" w:cs="Times New Roman"/>
          <w:sz w:val="24"/>
          <w:szCs w:val="24"/>
          <w:lang w:eastAsia="fr-FR"/>
        </w:rPr>
        <w:br/>
        <w:t>  - Ouvrir la voie à de véritables politiques de personnels grâce à des directives de gestion permettant d’encadrer la déconcentration et de développer les affectations sur profil.</w:t>
      </w:r>
      <w:r w:rsidRPr="00A15AC2">
        <w:rPr>
          <w:rFonts w:ascii="Times New Roman" w:eastAsia="Times New Roman" w:hAnsi="Times New Roman" w:cs="Times New Roman"/>
          <w:sz w:val="24"/>
          <w:szCs w:val="24"/>
          <w:lang w:eastAsia="fr-FR"/>
        </w:rPr>
        <w:br/>
        <w:t>  - Développer les responsabilités et déconcentrer la gestion des ressources humaines dans la fonction publique de l’État, notamment dans les grandes administrations, érigées en centres de responsabilité et de gestion.</w:t>
      </w:r>
      <w:r w:rsidRPr="00A15AC2">
        <w:rPr>
          <w:rFonts w:ascii="Times New Roman" w:eastAsia="Times New Roman" w:hAnsi="Times New Roman" w:cs="Times New Roman"/>
          <w:sz w:val="24"/>
          <w:szCs w:val="24"/>
          <w:lang w:eastAsia="fr-FR"/>
        </w:rPr>
        <w:br/>
        <w:t>  - Penser l’administration territoriale de l’État (périmètre Réate) comme un centre de responsabilités.</w:t>
      </w:r>
      <w:r w:rsidRPr="00A15AC2">
        <w:rPr>
          <w:rFonts w:ascii="Times New Roman" w:eastAsia="Times New Roman" w:hAnsi="Times New Roman" w:cs="Times New Roman"/>
          <w:sz w:val="24"/>
          <w:szCs w:val="24"/>
          <w:lang w:eastAsia="fr-FR"/>
        </w:rPr>
        <w:br/>
        <w:t>  - Revaloriser le rôle des commissions administratives paritaires en les concentrant sur des missions essentielles.</w:t>
      </w:r>
      <w:r w:rsidRPr="00A15AC2">
        <w:rPr>
          <w:rFonts w:ascii="Times New Roman" w:eastAsia="Times New Roman" w:hAnsi="Times New Roman" w:cs="Times New Roman"/>
          <w:sz w:val="24"/>
          <w:szCs w:val="24"/>
          <w:lang w:eastAsia="fr-FR"/>
        </w:rPr>
        <w:br/>
        <w:t>  - Mieux prévoir et accompagner les restructurations des services.</w:t>
      </w:r>
    </w:p>
    <w:p w:rsidR="00A15AC2" w:rsidRPr="00A15AC2" w:rsidRDefault="00A15AC2" w:rsidP="00A15AC2">
      <w:pPr>
        <w:spacing w:before="100" w:beforeAutospacing="1" w:after="100" w:afterAutospacing="1" w:line="240" w:lineRule="auto"/>
        <w:rPr>
          <w:rFonts w:ascii="Times New Roman" w:eastAsia="Times New Roman" w:hAnsi="Times New Roman" w:cs="Times New Roman"/>
          <w:sz w:val="24"/>
          <w:szCs w:val="24"/>
          <w:lang w:eastAsia="fr-FR"/>
        </w:rPr>
      </w:pPr>
      <w:r w:rsidRPr="00A15AC2">
        <w:rPr>
          <w:rFonts w:ascii="Times New Roman" w:eastAsia="Times New Roman" w:hAnsi="Times New Roman" w:cs="Times New Roman"/>
          <w:b/>
          <w:bCs/>
          <w:sz w:val="24"/>
          <w:szCs w:val="24"/>
          <w:u w:val="single"/>
          <w:lang w:eastAsia="fr-FR"/>
        </w:rPr>
        <w:t>“Définir un cadre salarial motivant et assurer des parcours professionnels de qualité”</w:t>
      </w:r>
      <w:r w:rsidRPr="00A15AC2">
        <w:rPr>
          <w:rFonts w:ascii="Times New Roman" w:eastAsia="Times New Roman" w:hAnsi="Times New Roman" w:cs="Times New Roman"/>
          <w:b/>
          <w:bCs/>
          <w:sz w:val="24"/>
          <w:szCs w:val="24"/>
          <w:u w:val="single"/>
          <w:lang w:eastAsia="fr-FR"/>
        </w:rPr>
        <w:br/>
      </w:r>
      <w:r w:rsidRPr="00A15AC2">
        <w:rPr>
          <w:rFonts w:ascii="Times New Roman" w:eastAsia="Times New Roman" w:hAnsi="Times New Roman" w:cs="Times New Roman"/>
          <w:sz w:val="24"/>
          <w:szCs w:val="24"/>
          <w:lang w:eastAsia="fr-FR"/>
        </w:rPr>
        <w:t>  - Abandonner le critère exclusif du diplôme et caractériser chaque corps ou cadre d’emploi par un “niveau de fonctions”.</w:t>
      </w:r>
      <w:r w:rsidRPr="00A15AC2">
        <w:rPr>
          <w:rFonts w:ascii="Times New Roman" w:eastAsia="Times New Roman" w:hAnsi="Times New Roman" w:cs="Times New Roman"/>
          <w:sz w:val="24"/>
          <w:szCs w:val="24"/>
          <w:lang w:eastAsia="fr-FR"/>
        </w:rPr>
        <w:br/>
        <w:t>  - Mettre en place pour chaque corps ou cadre d’emploi deux paliers de recrutement, le premier pour les personnes sans expérience professionnelle, le second pour celles ayant acquis une expérience professionnelle dans la fonction publique ou le secteur privé.</w:t>
      </w:r>
      <w:r w:rsidRPr="00A15AC2">
        <w:rPr>
          <w:rFonts w:ascii="Times New Roman" w:eastAsia="Times New Roman" w:hAnsi="Times New Roman" w:cs="Times New Roman"/>
          <w:sz w:val="24"/>
          <w:szCs w:val="24"/>
          <w:lang w:eastAsia="fr-FR"/>
        </w:rPr>
        <w:br/>
        <w:t>  - Privilégier les structures de corps ou cadres à trois grades et reconsidérer l’utilisation du mécanisme d’avancement “promouvables/promus” qui a souvent conduit à déséquilibrer la structure par grades des différents corps.</w:t>
      </w:r>
      <w:r w:rsidRPr="00A15AC2">
        <w:rPr>
          <w:rFonts w:ascii="Times New Roman" w:eastAsia="Times New Roman" w:hAnsi="Times New Roman" w:cs="Times New Roman"/>
          <w:sz w:val="24"/>
          <w:szCs w:val="24"/>
          <w:lang w:eastAsia="fr-FR"/>
        </w:rPr>
        <w:br/>
        <w:t>  - Unifier le barème des traitements de la fonction publique en traduisant en indices chiffrés les échelles lettres.</w:t>
      </w:r>
      <w:r w:rsidRPr="00A15AC2">
        <w:rPr>
          <w:rFonts w:ascii="Times New Roman" w:eastAsia="Times New Roman" w:hAnsi="Times New Roman" w:cs="Times New Roman"/>
          <w:sz w:val="24"/>
          <w:szCs w:val="24"/>
          <w:lang w:eastAsia="fr-FR"/>
        </w:rPr>
        <w:br/>
        <w:t>  - Développer les échelons fonctionnels et les échelons spéciaux.</w:t>
      </w:r>
      <w:r w:rsidRPr="00A15AC2">
        <w:rPr>
          <w:rFonts w:ascii="Times New Roman" w:eastAsia="Times New Roman" w:hAnsi="Times New Roman" w:cs="Times New Roman"/>
          <w:sz w:val="24"/>
          <w:szCs w:val="24"/>
          <w:lang w:eastAsia="fr-FR"/>
        </w:rPr>
        <w:br/>
        <w:t>  - Donner davantage de sens aux avancements d’échelons.</w:t>
      </w:r>
      <w:r w:rsidRPr="00A15AC2">
        <w:rPr>
          <w:rFonts w:ascii="Times New Roman" w:eastAsia="Times New Roman" w:hAnsi="Times New Roman" w:cs="Times New Roman"/>
          <w:sz w:val="24"/>
          <w:szCs w:val="24"/>
          <w:lang w:eastAsia="fr-FR"/>
        </w:rPr>
        <w:br/>
        <w:t>  - Prendre appui sur les politiques de fusion des corps, de création de “cadres professionnels interministériels” et de création de cadres professionnels “transfonctions publiques”.</w:t>
      </w:r>
      <w:r w:rsidRPr="00A15AC2">
        <w:rPr>
          <w:rFonts w:ascii="Times New Roman" w:eastAsia="Times New Roman" w:hAnsi="Times New Roman" w:cs="Times New Roman"/>
          <w:sz w:val="24"/>
          <w:szCs w:val="24"/>
          <w:lang w:eastAsia="fr-FR"/>
        </w:rPr>
        <w:br/>
        <w:t>  - Ouvrir la voie à une rénovation de la grille en s’appuyant sur les différents éléments mentionnés ci-dessus.</w:t>
      </w:r>
      <w:r w:rsidRPr="00A15AC2">
        <w:rPr>
          <w:rFonts w:ascii="Times New Roman" w:eastAsia="Times New Roman" w:hAnsi="Times New Roman" w:cs="Times New Roman"/>
          <w:sz w:val="24"/>
          <w:szCs w:val="24"/>
          <w:lang w:eastAsia="fr-FR"/>
        </w:rPr>
        <w:br/>
        <w:t>  - Écarter toute forme d’indexation mais suivre l’évolution générale du pouvoir d’achat de sorte que les fonctionnaires ne soient ni favorisés ni décrochés par rapport aux salariés du secteur privé.</w:t>
      </w:r>
      <w:r w:rsidRPr="00A15AC2">
        <w:rPr>
          <w:rFonts w:ascii="Times New Roman" w:eastAsia="Times New Roman" w:hAnsi="Times New Roman" w:cs="Times New Roman"/>
          <w:sz w:val="24"/>
          <w:szCs w:val="24"/>
          <w:lang w:eastAsia="fr-FR"/>
        </w:rPr>
        <w:br/>
        <w:t>  - Recourir aux différents leviers d’une politique salariale dynamique et responsable : rémunération indemnitaire, mesures catégorielles de grille, mais aussi mesures générales.</w:t>
      </w:r>
      <w:r w:rsidRPr="00A15AC2">
        <w:rPr>
          <w:rFonts w:ascii="Times New Roman" w:eastAsia="Times New Roman" w:hAnsi="Times New Roman" w:cs="Times New Roman"/>
          <w:sz w:val="24"/>
          <w:szCs w:val="24"/>
          <w:lang w:eastAsia="fr-FR"/>
        </w:rPr>
        <w:br/>
        <w:t>  - Rechercher la conclusion avec les organisations syndicales d’un “contrat social triennal”.</w:t>
      </w:r>
      <w:r w:rsidRPr="00A15AC2">
        <w:rPr>
          <w:rFonts w:ascii="Times New Roman" w:eastAsia="Times New Roman" w:hAnsi="Times New Roman" w:cs="Times New Roman"/>
          <w:sz w:val="24"/>
          <w:szCs w:val="24"/>
          <w:lang w:eastAsia="fr-FR"/>
        </w:rPr>
        <w:br/>
        <w:t>  - Avoir des outils plus flexibles de prise en compte du Smic.</w:t>
      </w:r>
      <w:r w:rsidRPr="00A15AC2">
        <w:rPr>
          <w:rFonts w:ascii="Times New Roman" w:eastAsia="Times New Roman" w:hAnsi="Times New Roman" w:cs="Times New Roman"/>
          <w:sz w:val="24"/>
          <w:szCs w:val="24"/>
          <w:lang w:eastAsia="fr-FR"/>
        </w:rPr>
        <w:br/>
        <w:t>  - Assurer la transparence indemnitaire d’ici fin 2014 et engager un mouvement de simplification et d’harmonisation des régimes et des niveaux indemnitaires dans la fonction publique de l’État.</w:t>
      </w:r>
      <w:bookmarkStart w:id="0" w:name="_GoBack"/>
      <w:bookmarkEnd w:id="0"/>
    </w:p>
    <w:sectPr w:rsidR="00A15AC2" w:rsidRPr="00A15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C2"/>
    <w:rsid w:val="0049497D"/>
    <w:rsid w:val="00A15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5A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5A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5277">
      <w:bodyDiv w:val="1"/>
      <w:marLeft w:val="0"/>
      <w:marRight w:val="0"/>
      <w:marTop w:val="0"/>
      <w:marBottom w:val="0"/>
      <w:divBdr>
        <w:top w:val="none" w:sz="0" w:space="0" w:color="auto"/>
        <w:left w:val="none" w:sz="0" w:space="0" w:color="auto"/>
        <w:bottom w:val="none" w:sz="0" w:space="0" w:color="auto"/>
        <w:right w:val="none" w:sz="0" w:space="0" w:color="auto"/>
      </w:divBdr>
      <w:divsChild>
        <w:div w:id="71047618">
          <w:marLeft w:val="0"/>
          <w:marRight w:val="0"/>
          <w:marTop w:val="0"/>
          <w:marBottom w:val="0"/>
          <w:divBdr>
            <w:top w:val="none" w:sz="0" w:space="0" w:color="auto"/>
            <w:left w:val="none" w:sz="0" w:space="0" w:color="auto"/>
            <w:bottom w:val="none" w:sz="0" w:space="0" w:color="auto"/>
            <w:right w:val="none" w:sz="0" w:space="0" w:color="auto"/>
          </w:divBdr>
          <w:divsChild>
            <w:div w:id="1699117198">
              <w:marLeft w:val="0"/>
              <w:marRight w:val="0"/>
              <w:marTop w:val="0"/>
              <w:marBottom w:val="0"/>
              <w:divBdr>
                <w:top w:val="none" w:sz="0" w:space="0" w:color="auto"/>
                <w:left w:val="none" w:sz="0" w:space="0" w:color="auto"/>
                <w:bottom w:val="none" w:sz="0" w:space="0" w:color="auto"/>
                <w:right w:val="none" w:sz="0" w:space="0" w:color="auto"/>
              </w:divBdr>
              <w:divsChild>
                <w:div w:id="1318918829">
                  <w:marLeft w:val="0"/>
                  <w:marRight w:val="0"/>
                  <w:marTop w:val="0"/>
                  <w:marBottom w:val="0"/>
                  <w:divBdr>
                    <w:top w:val="none" w:sz="0" w:space="0" w:color="auto"/>
                    <w:left w:val="none" w:sz="0" w:space="0" w:color="auto"/>
                    <w:bottom w:val="none" w:sz="0" w:space="0" w:color="auto"/>
                    <w:right w:val="none" w:sz="0" w:space="0" w:color="auto"/>
                  </w:divBdr>
                  <w:divsChild>
                    <w:div w:id="1312490578">
                      <w:marLeft w:val="0"/>
                      <w:marRight w:val="0"/>
                      <w:marTop w:val="0"/>
                      <w:marBottom w:val="0"/>
                      <w:divBdr>
                        <w:top w:val="none" w:sz="0" w:space="0" w:color="auto"/>
                        <w:left w:val="none" w:sz="0" w:space="0" w:color="auto"/>
                        <w:bottom w:val="none" w:sz="0" w:space="0" w:color="auto"/>
                        <w:right w:val="none" w:sz="0" w:space="0" w:color="auto"/>
                      </w:divBdr>
                      <w:divsChild>
                        <w:div w:id="1831285225">
                          <w:marLeft w:val="0"/>
                          <w:marRight w:val="0"/>
                          <w:marTop w:val="0"/>
                          <w:marBottom w:val="0"/>
                          <w:divBdr>
                            <w:top w:val="none" w:sz="0" w:space="0" w:color="auto"/>
                            <w:left w:val="none" w:sz="0" w:space="0" w:color="auto"/>
                            <w:bottom w:val="none" w:sz="0" w:space="0" w:color="auto"/>
                            <w:right w:val="none" w:sz="0" w:space="0" w:color="auto"/>
                          </w:divBdr>
                          <w:divsChild>
                            <w:div w:id="2093820447">
                              <w:marLeft w:val="0"/>
                              <w:marRight w:val="0"/>
                              <w:marTop w:val="0"/>
                              <w:marBottom w:val="0"/>
                              <w:divBdr>
                                <w:top w:val="none" w:sz="0" w:space="0" w:color="auto"/>
                                <w:left w:val="none" w:sz="0" w:space="0" w:color="auto"/>
                                <w:bottom w:val="none" w:sz="0" w:space="0" w:color="auto"/>
                                <w:right w:val="none" w:sz="0" w:space="0" w:color="auto"/>
                              </w:divBdr>
                              <w:divsChild>
                                <w:div w:id="38748729">
                                  <w:marLeft w:val="0"/>
                                  <w:marRight w:val="0"/>
                                  <w:marTop w:val="0"/>
                                  <w:marBottom w:val="0"/>
                                  <w:divBdr>
                                    <w:top w:val="none" w:sz="0" w:space="0" w:color="auto"/>
                                    <w:left w:val="none" w:sz="0" w:space="0" w:color="auto"/>
                                    <w:bottom w:val="none" w:sz="0" w:space="0" w:color="auto"/>
                                    <w:right w:val="none" w:sz="0" w:space="0" w:color="auto"/>
                                  </w:divBdr>
                                  <w:divsChild>
                                    <w:div w:id="1903252545">
                                      <w:marLeft w:val="0"/>
                                      <w:marRight w:val="0"/>
                                      <w:marTop w:val="0"/>
                                      <w:marBottom w:val="0"/>
                                      <w:divBdr>
                                        <w:top w:val="none" w:sz="0" w:space="0" w:color="auto"/>
                                        <w:left w:val="none" w:sz="0" w:space="0" w:color="auto"/>
                                        <w:bottom w:val="none" w:sz="0" w:space="0" w:color="auto"/>
                                        <w:right w:val="none" w:sz="0" w:space="0" w:color="auto"/>
                                      </w:divBdr>
                                    </w:div>
                                    <w:div w:id="1808356991">
                                      <w:marLeft w:val="0"/>
                                      <w:marRight w:val="0"/>
                                      <w:marTop w:val="0"/>
                                      <w:marBottom w:val="0"/>
                                      <w:divBdr>
                                        <w:top w:val="none" w:sz="0" w:space="0" w:color="auto"/>
                                        <w:left w:val="none" w:sz="0" w:space="0" w:color="auto"/>
                                        <w:bottom w:val="none" w:sz="0" w:space="0" w:color="auto"/>
                                        <w:right w:val="none" w:sz="0" w:space="0" w:color="auto"/>
                                      </w:divBdr>
                                    </w:div>
                                    <w:div w:id="1966034913">
                                      <w:marLeft w:val="0"/>
                                      <w:marRight w:val="0"/>
                                      <w:marTop w:val="0"/>
                                      <w:marBottom w:val="0"/>
                                      <w:divBdr>
                                        <w:top w:val="none" w:sz="0" w:space="0" w:color="auto"/>
                                        <w:left w:val="none" w:sz="0" w:space="0" w:color="auto"/>
                                        <w:bottom w:val="none" w:sz="0" w:space="0" w:color="auto"/>
                                        <w:right w:val="none" w:sz="0" w:space="0" w:color="auto"/>
                                      </w:divBdr>
                                    </w:div>
                                  </w:divsChild>
                                </w:div>
                                <w:div w:id="8311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teurspublics.com/static/uploads/file/2013/11/04/rapport-bernard-pecheur-sur-la-fonction-publiqu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8076E5C7.dotm</Template>
  <TotalTime>1</TotalTime>
  <Pages>2</Pages>
  <Words>916</Words>
  <Characters>5039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 Max (INTEFP)</dc:creator>
  <cp:lastModifiedBy> </cp:lastModifiedBy>
  <cp:revision>1</cp:revision>
  <dcterms:created xsi:type="dcterms:W3CDTF">2013-11-06T14:49:00Z</dcterms:created>
  <dcterms:modified xsi:type="dcterms:W3CDTF">2013-11-06T14:50:00Z</dcterms:modified>
</cp:coreProperties>
</file>